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21AA" w14:textId="77777777" w:rsidR="00FA050E" w:rsidRPr="00FA050E" w:rsidRDefault="00FA050E" w:rsidP="00FA050E">
      <w:pPr>
        <w:rPr>
          <w:rFonts w:ascii="Arial" w:hAnsi="Arial" w:cs="Arial"/>
          <w:b/>
          <w:bCs/>
          <w:sz w:val="32"/>
          <w:szCs w:val="32"/>
        </w:rPr>
      </w:pPr>
      <w:r w:rsidRPr="00FA050E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0E0067C" wp14:editId="079B4E09">
            <wp:extent cx="2419350" cy="361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DB60E" w14:textId="77777777" w:rsidR="00FA050E" w:rsidRDefault="00FA050E" w:rsidP="001276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4CEF041" w14:textId="7C806FD5" w:rsidR="00135A34" w:rsidRDefault="00127646" w:rsidP="001276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27646">
        <w:rPr>
          <w:rFonts w:ascii="Arial" w:hAnsi="Arial" w:cs="Arial"/>
          <w:b/>
          <w:bCs/>
          <w:sz w:val="32"/>
          <w:szCs w:val="32"/>
          <w:u w:val="single"/>
        </w:rPr>
        <w:t>Recent Changes to the Provider Qualification Documentation Record</w:t>
      </w:r>
      <w:r w:rsidR="00BB768A">
        <w:rPr>
          <w:rFonts w:ascii="Arial" w:hAnsi="Arial" w:cs="Arial"/>
          <w:b/>
          <w:bCs/>
          <w:sz w:val="32"/>
          <w:szCs w:val="32"/>
          <w:u w:val="single"/>
        </w:rPr>
        <w:t xml:space="preserve"> (PQDR) </w:t>
      </w:r>
    </w:p>
    <w:p w14:paraId="7D2A9175" w14:textId="77777777" w:rsidR="00127646" w:rsidRDefault="00127646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  <w:u w:val="single"/>
        </w:rPr>
      </w:pPr>
    </w:p>
    <w:p w14:paraId="1F998FB2" w14:textId="3DADF767" w:rsidR="001E1FA9" w:rsidRPr="006E16F4" w:rsidRDefault="001E1FA9" w:rsidP="0012764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Tab</w:t>
      </w:r>
      <w:r w:rsidR="00A676D3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1. Instructions</w:t>
      </w:r>
    </w:p>
    <w:p w14:paraId="55F8F5B8" w14:textId="6E40DF06" w:rsidR="00A676D3" w:rsidRDefault="00BB768A" w:rsidP="00A676D3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 xml:space="preserve">Effective </w:t>
      </w:r>
      <w:r w:rsidRPr="00BB768A">
        <w:rPr>
          <w:rFonts w:ascii="Verdana" w:eastAsia="Calibri" w:hAnsi="Verdana" w:cs="Calibri"/>
          <w:sz w:val="20"/>
          <w:szCs w:val="20"/>
        </w:rPr>
        <w:t>January 1</w:t>
      </w:r>
      <w:r>
        <w:rPr>
          <w:rFonts w:ascii="Verdana" w:eastAsia="Calibri" w:hAnsi="Verdana" w:cs="Calibri"/>
          <w:sz w:val="20"/>
          <w:szCs w:val="20"/>
        </w:rPr>
        <w:t>, 2021</w:t>
      </w:r>
      <w:r w:rsidRPr="00BB768A">
        <w:rPr>
          <w:rFonts w:ascii="Verdana" w:eastAsia="Calibri" w:hAnsi="Verdana" w:cs="Calibri"/>
          <w:sz w:val="20"/>
          <w:szCs w:val="20"/>
        </w:rPr>
        <w:t>, the</w:t>
      </w:r>
      <w:r>
        <w:rPr>
          <w:rFonts w:ascii="Verdana" w:eastAsia="Calibri" w:hAnsi="Verdana" w:cs="Calibri"/>
          <w:sz w:val="20"/>
          <w:szCs w:val="20"/>
        </w:rPr>
        <w:t xml:space="preserve"> PQDR </w:t>
      </w:r>
      <w:r w:rsidRPr="00BB768A">
        <w:rPr>
          <w:rFonts w:ascii="Verdana" w:eastAsia="Calibri" w:hAnsi="Verdana" w:cs="Calibri"/>
          <w:sz w:val="20"/>
          <w:szCs w:val="20"/>
        </w:rPr>
        <w:t xml:space="preserve">was updated to be used by all ODP providers for the Consolidated, Community Living, PFDS, and Autism waivers. </w:t>
      </w:r>
      <w:r w:rsidR="006E16F4">
        <w:rPr>
          <w:rFonts w:ascii="Verdana" w:eastAsia="Calibri" w:hAnsi="Verdana" w:cs="Calibri"/>
          <w:sz w:val="20"/>
          <w:szCs w:val="20"/>
        </w:rPr>
        <w:t>On the PQDR</w:t>
      </w:r>
      <w:r w:rsidRPr="00BB768A">
        <w:rPr>
          <w:rFonts w:ascii="Verdana" w:eastAsia="Calibri" w:hAnsi="Verdana" w:cs="Calibri"/>
          <w:sz w:val="20"/>
          <w:szCs w:val="20"/>
        </w:rPr>
        <w:t>, we are referring to the Consolidated, Community Living, and PFDs waivers as ID/A and the Adult Autism Waiver as AAW.</w:t>
      </w:r>
      <w:r w:rsidR="00AF6219">
        <w:rPr>
          <w:rFonts w:ascii="Verdana" w:eastAsia="Calibri" w:hAnsi="Verdana" w:cs="Calibri"/>
          <w:sz w:val="20"/>
          <w:szCs w:val="20"/>
        </w:rPr>
        <w:t xml:space="preserve"> </w:t>
      </w:r>
      <w:r w:rsidR="00AF6219" w:rsidRPr="00AF6219">
        <w:rPr>
          <w:rFonts w:ascii="Verdana" w:eastAsia="Calibri" w:hAnsi="Verdana" w:cs="Calibri"/>
          <w:sz w:val="20"/>
          <w:szCs w:val="20"/>
        </w:rPr>
        <w:t>In an effort to prevent confusion, there are new instructions on the Instructions Tab.  These instructions explain how green tabs apply to all agencies, Blue Tabs pertain to ID</w:t>
      </w:r>
      <w:r w:rsidR="006E16F4">
        <w:rPr>
          <w:rFonts w:ascii="Verdana" w:eastAsia="Calibri" w:hAnsi="Verdana" w:cs="Calibri"/>
          <w:sz w:val="20"/>
          <w:szCs w:val="20"/>
        </w:rPr>
        <w:t>/</w:t>
      </w:r>
      <w:r w:rsidR="00AF6219" w:rsidRPr="00AF6219">
        <w:rPr>
          <w:rFonts w:ascii="Verdana" w:eastAsia="Calibri" w:hAnsi="Verdana" w:cs="Calibri"/>
          <w:sz w:val="20"/>
          <w:szCs w:val="20"/>
        </w:rPr>
        <w:t>A providers only, and Orange tabs apply to AAW providers only.</w:t>
      </w:r>
    </w:p>
    <w:p w14:paraId="0006A623" w14:textId="76729B67" w:rsidR="000A0618" w:rsidRDefault="000A0618" w:rsidP="00A676D3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</w:p>
    <w:p w14:paraId="1E3CBF5B" w14:textId="49B8ECE7" w:rsidR="0021568A" w:rsidRPr="0021568A" w:rsidRDefault="0021568A" w:rsidP="0021568A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  <w:r w:rsidRPr="0021568A">
        <w:rPr>
          <w:rFonts w:ascii="Verdana" w:eastAsia="Calibri" w:hAnsi="Verdana" w:cs="Calibri"/>
          <w:sz w:val="20"/>
          <w:szCs w:val="20"/>
        </w:rPr>
        <w:t>The instructions further direct providers that if they are enrolling/enrolled to provider services in both ID</w:t>
      </w:r>
      <w:r w:rsidR="006E16F4">
        <w:rPr>
          <w:rFonts w:ascii="Verdana" w:eastAsia="Calibri" w:hAnsi="Verdana" w:cs="Calibri"/>
          <w:sz w:val="20"/>
          <w:szCs w:val="20"/>
        </w:rPr>
        <w:t>/</w:t>
      </w:r>
      <w:r w:rsidRPr="0021568A">
        <w:rPr>
          <w:rFonts w:ascii="Verdana" w:eastAsia="Calibri" w:hAnsi="Verdana" w:cs="Calibri"/>
          <w:sz w:val="20"/>
          <w:szCs w:val="20"/>
        </w:rPr>
        <w:t>A and AAW waivers, they will complete/refer to all tabs on the PQDR</w:t>
      </w:r>
      <w:r>
        <w:rPr>
          <w:rFonts w:ascii="Verdana" w:eastAsia="Calibri" w:hAnsi="Verdana" w:cs="Calibri"/>
          <w:sz w:val="20"/>
          <w:szCs w:val="20"/>
        </w:rPr>
        <w:t>:</w:t>
      </w:r>
    </w:p>
    <w:p w14:paraId="1B85D93B" w14:textId="56654058" w:rsidR="0021568A" w:rsidRPr="0021568A" w:rsidRDefault="0021568A" w:rsidP="00C118A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21568A">
        <w:rPr>
          <w:rFonts w:ascii="Verdana" w:eastAsia="Calibri" w:hAnsi="Verdana" w:cs="Calibri"/>
          <w:sz w:val="20"/>
          <w:szCs w:val="20"/>
        </w:rPr>
        <w:t>If they are enrolled/enrolling to provide services in ID</w:t>
      </w:r>
      <w:r w:rsidR="006E16F4">
        <w:rPr>
          <w:rFonts w:ascii="Verdana" w:eastAsia="Calibri" w:hAnsi="Verdana" w:cs="Calibri"/>
          <w:sz w:val="20"/>
          <w:szCs w:val="20"/>
        </w:rPr>
        <w:t>/</w:t>
      </w:r>
      <w:r w:rsidRPr="0021568A">
        <w:rPr>
          <w:rFonts w:ascii="Verdana" w:eastAsia="Calibri" w:hAnsi="Verdana" w:cs="Calibri"/>
          <w:sz w:val="20"/>
          <w:szCs w:val="20"/>
        </w:rPr>
        <w:t>A waivers only, they would complete/refer to the Green and blue tabs</w:t>
      </w:r>
      <w:r w:rsidR="0024380F">
        <w:rPr>
          <w:rFonts w:ascii="Verdana" w:eastAsia="Calibri" w:hAnsi="Verdana" w:cs="Calibri"/>
          <w:sz w:val="20"/>
          <w:szCs w:val="20"/>
        </w:rPr>
        <w:t>.</w:t>
      </w:r>
    </w:p>
    <w:p w14:paraId="78EB77BC" w14:textId="3F52C9D8" w:rsidR="0021568A" w:rsidRPr="0021568A" w:rsidRDefault="0021568A" w:rsidP="00C118A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21568A">
        <w:rPr>
          <w:rFonts w:ascii="Verdana" w:eastAsia="Calibri" w:hAnsi="Verdana" w:cs="Calibri"/>
          <w:sz w:val="20"/>
          <w:szCs w:val="20"/>
        </w:rPr>
        <w:t>If they are enrolled/enrolling to provide services in the Adult Autism Waiver only, they would complete/refer to the green and orange tabs</w:t>
      </w:r>
      <w:r w:rsidR="00C118A6">
        <w:rPr>
          <w:rFonts w:ascii="Verdana" w:eastAsia="Calibri" w:hAnsi="Verdana" w:cs="Calibri"/>
          <w:sz w:val="20"/>
          <w:szCs w:val="20"/>
        </w:rPr>
        <w:t>.</w:t>
      </w:r>
    </w:p>
    <w:p w14:paraId="25C0B388" w14:textId="49E1A41A" w:rsidR="000A0618" w:rsidRDefault="0021568A" w:rsidP="00C118A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21568A">
        <w:rPr>
          <w:rFonts w:ascii="Verdana" w:eastAsia="Calibri" w:hAnsi="Verdana" w:cs="Calibri"/>
          <w:sz w:val="20"/>
          <w:szCs w:val="20"/>
        </w:rPr>
        <w:t xml:space="preserve">There are also additional instructions on where to submit the </w:t>
      </w:r>
      <w:r w:rsidR="0024380F">
        <w:rPr>
          <w:rFonts w:ascii="Verdana" w:eastAsia="Calibri" w:hAnsi="Verdana" w:cs="Calibri"/>
          <w:sz w:val="20"/>
          <w:szCs w:val="20"/>
        </w:rPr>
        <w:t xml:space="preserve">PQDR </w:t>
      </w:r>
      <w:r w:rsidRPr="0021568A">
        <w:rPr>
          <w:rFonts w:ascii="Verdana" w:eastAsia="Calibri" w:hAnsi="Verdana" w:cs="Calibri"/>
          <w:sz w:val="20"/>
          <w:szCs w:val="20"/>
        </w:rPr>
        <w:t>and supporting documentation</w:t>
      </w:r>
      <w:r w:rsidR="006E16F4">
        <w:rPr>
          <w:rFonts w:ascii="Verdana" w:eastAsia="Calibri" w:hAnsi="Verdana" w:cs="Calibri"/>
          <w:sz w:val="20"/>
          <w:szCs w:val="20"/>
        </w:rPr>
        <w:t xml:space="preserve"> and naming conventions for the PQDR</w:t>
      </w:r>
      <w:r w:rsidRPr="0021568A">
        <w:rPr>
          <w:rFonts w:ascii="Verdana" w:eastAsia="Calibri" w:hAnsi="Verdana" w:cs="Calibri"/>
          <w:sz w:val="20"/>
          <w:szCs w:val="20"/>
        </w:rPr>
        <w:t>.</w:t>
      </w:r>
    </w:p>
    <w:p w14:paraId="644E14F5" w14:textId="2286D7FE" w:rsidR="00C34AA1" w:rsidRDefault="00C34AA1" w:rsidP="00A676D3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</w:p>
    <w:p w14:paraId="2A18EEB6" w14:textId="77F8F66E" w:rsidR="00C34AA1" w:rsidRDefault="000A0618" w:rsidP="00A676D3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  <w:r>
        <w:rPr>
          <w:noProof/>
        </w:rPr>
        <w:drawing>
          <wp:inline distT="0" distB="0" distL="0" distR="0" wp14:anchorId="2512DEBC" wp14:editId="3FB03FC5">
            <wp:extent cx="9144000" cy="30689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E1AF" w14:textId="77777777" w:rsidR="00BB768A" w:rsidRPr="00A676D3" w:rsidRDefault="00BB768A" w:rsidP="00A676D3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</w:p>
    <w:p w14:paraId="5078CA81" w14:textId="3B0F1842" w:rsidR="00C34AA1" w:rsidRDefault="00C34AA1" w:rsidP="00511DD9">
      <w:pPr>
        <w:spacing w:after="0" w:line="240" w:lineRule="auto"/>
        <w:rPr>
          <w:rFonts w:ascii="Verdana" w:eastAsia="Calibri" w:hAnsi="Verdana" w:cs="Calibri"/>
          <w:sz w:val="20"/>
          <w:szCs w:val="20"/>
          <w:u w:val="single"/>
        </w:rPr>
      </w:pPr>
    </w:p>
    <w:p w14:paraId="4D227A50" w14:textId="27AEF9FF" w:rsidR="00511DD9" w:rsidRPr="00511DD9" w:rsidRDefault="00511DD9" w:rsidP="00511DD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511DD9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Previous PQDR had 12 Tabs</w:t>
      </w:r>
      <w:r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the </w:t>
      </w:r>
      <w:r w:rsidRPr="00511DD9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New PQDR has 15 Tabs</w:t>
      </w:r>
      <w:r w:rsidRPr="00511DD9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:</w:t>
      </w:r>
    </w:p>
    <w:p w14:paraId="4D349C61" w14:textId="77777777" w:rsidR="00511DD9" w:rsidRDefault="00511DD9" w:rsidP="00511DD9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2060"/>
          <w:sz w:val="20"/>
          <w:szCs w:val="20"/>
        </w:rPr>
      </w:pPr>
    </w:p>
    <w:p w14:paraId="76C8F035" w14:textId="4D50A6B5" w:rsidR="00511DD9" w:rsidRPr="00511DD9" w:rsidRDefault="00511DD9" w:rsidP="00511DD9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2A184532" wp14:editId="268CEC4E">
            <wp:extent cx="9144000" cy="448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F031C" w14:textId="07523E03" w:rsidR="00E66F9A" w:rsidRDefault="00E66F9A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7921AC1D" w14:textId="0334044A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7D9529D3" w14:textId="5E728488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6A533024" w14:textId="146AD402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61541F06" w14:textId="73372243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252A5290" w14:textId="63AE1947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290CB720" w14:textId="67DA038A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31C6B8D3" w14:textId="2FAD3B83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23D0E7A9" w14:textId="2053F46C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4FD48549" w14:textId="270A2840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4BB6D3D9" w14:textId="77777777" w:rsidR="00511DD9" w:rsidRDefault="00511DD9" w:rsidP="00E66F9A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12D98747" w14:textId="77777777" w:rsidR="00511DD9" w:rsidRDefault="00511DD9" w:rsidP="00511DD9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</w:p>
    <w:p w14:paraId="288BB123" w14:textId="3FEA194D" w:rsidR="00127646" w:rsidRPr="006E16F4" w:rsidRDefault="002541DA" w:rsidP="0012764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Tab 1</w:t>
      </w:r>
      <w:r w:rsidR="00D649A9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.</w:t>
      </w: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Instructions: </w:t>
      </w:r>
      <w:r w:rsidR="00127646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Links </w:t>
      </w: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and paths </w:t>
      </w:r>
      <w:r w:rsidR="00127646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to trainings were added:</w:t>
      </w:r>
    </w:p>
    <w:p w14:paraId="12175A05" w14:textId="68E1DD0E" w:rsidR="00127646" w:rsidRPr="00127646" w:rsidRDefault="00127646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</w:p>
    <w:p w14:paraId="24E51E2D" w14:textId="110528AC" w:rsidR="00127646" w:rsidRPr="00127646" w:rsidRDefault="00B50FC8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  <w:r>
        <w:rPr>
          <w:noProof/>
        </w:rPr>
        <w:drawing>
          <wp:inline distT="0" distB="0" distL="0" distR="0" wp14:anchorId="0DF6160B" wp14:editId="34B86961">
            <wp:extent cx="7572375" cy="3324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36C35" w14:textId="77777777" w:rsidR="00127646" w:rsidRPr="00127646" w:rsidRDefault="00127646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</w:p>
    <w:p w14:paraId="32A4E6A9" w14:textId="77777777" w:rsidR="00D3768B" w:rsidRDefault="00D3768B" w:rsidP="00D3768B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0066"/>
          <w:sz w:val="20"/>
          <w:szCs w:val="20"/>
          <w:u w:val="single"/>
        </w:rPr>
      </w:pPr>
    </w:p>
    <w:p w14:paraId="581AE825" w14:textId="5C5E8F1B" w:rsidR="00127646" w:rsidRPr="006E16F4" w:rsidRDefault="008B48E2" w:rsidP="008B48E2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0066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0066"/>
          <w:sz w:val="20"/>
          <w:szCs w:val="20"/>
          <w:u w:val="single"/>
        </w:rPr>
        <w:t>Tab 1. Instructions: Under number “7” instructions were added for the ID/A OHCDS AWC Vendor Tab:</w:t>
      </w:r>
    </w:p>
    <w:p w14:paraId="0230E0ED" w14:textId="661C0B9C" w:rsidR="002D5424" w:rsidRDefault="002D5424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</w:p>
    <w:p w14:paraId="5CF65D40" w14:textId="73BB0AF8" w:rsidR="002D5424" w:rsidRPr="00127646" w:rsidRDefault="002D5424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  <w:r>
        <w:rPr>
          <w:rFonts w:ascii="Verdana" w:eastAsia="Calibri" w:hAnsi="Verdana" w:cs="Calibri"/>
          <w:noProof/>
          <w:color w:val="000066"/>
          <w:sz w:val="20"/>
          <w:szCs w:val="20"/>
        </w:rPr>
        <w:drawing>
          <wp:inline distT="0" distB="0" distL="0" distR="0" wp14:anchorId="0C8DB994" wp14:editId="27E41309">
            <wp:extent cx="9144635" cy="16459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F3629" w14:textId="41ED400D" w:rsidR="00FA050E" w:rsidRDefault="00FA050E" w:rsidP="00FA050E">
      <w:pPr>
        <w:pStyle w:val="ListParagraph"/>
        <w:spacing w:after="0" w:line="240" w:lineRule="auto"/>
        <w:rPr>
          <w:rFonts w:ascii="Verdana" w:eastAsia="Calibri" w:hAnsi="Verdana" w:cs="Calibri"/>
          <w:sz w:val="20"/>
          <w:szCs w:val="20"/>
          <w:u w:val="single"/>
        </w:rPr>
      </w:pPr>
    </w:p>
    <w:p w14:paraId="45BF1002" w14:textId="4DD5FC09" w:rsidR="00950ED9" w:rsidRDefault="00950ED9" w:rsidP="00FA050E">
      <w:pPr>
        <w:pStyle w:val="ListParagraph"/>
        <w:spacing w:after="0" w:line="240" w:lineRule="auto"/>
        <w:rPr>
          <w:rFonts w:ascii="Verdana" w:eastAsia="Calibri" w:hAnsi="Verdana" w:cs="Calibri"/>
          <w:sz w:val="20"/>
          <w:szCs w:val="20"/>
          <w:u w:val="single"/>
        </w:rPr>
      </w:pPr>
    </w:p>
    <w:p w14:paraId="2532C0E9" w14:textId="271F63BE" w:rsidR="00950ED9" w:rsidRDefault="00950ED9" w:rsidP="00FA050E">
      <w:pPr>
        <w:pStyle w:val="ListParagraph"/>
        <w:spacing w:after="0" w:line="240" w:lineRule="auto"/>
        <w:rPr>
          <w:rFonts w:ascii="Verdana" w:eastAsia="Calibri" w:hAnsi="Verdana" w:cs="Calibri"/>
          <w:sz w:val="20"/>
          <w:szCs w:val="20"/>
          <w:u w:val="single"/>
        </w:rPr>
      </w:pPr>
    </w:p>
    <w:p w14:paraId="7A42333B" w14:textId="77777777" w:rsidR="00950ED9" w:rsidRPr="00FA050E" w:rsidRDefault="00950ED9" w:rsidP="00FA050E">
      <w:pPr>
        <w:pStyle w:val="ListParagraph"/>
        <w:spacing w:after="0" w:line="240" w:lineRule="auto"/>
        <w:rPr>
          <w:rFonts w:ascii="Verdana" w:eastAsia="Calibri" w:hAnsi="Verdana" w:cs="Calibri"/>
          <w:sz w:val="20"/>
          <w:szCs w:val="20"/>
          <w:u w:val="single"/>
        </w:rPr>
      </w:pPr>
    </w:p>
    <w:p w14:paraId="1B48CACE" w14:textId="54B7D92A" w:rsidR="00127646" w:rsidRPr="006E16F4" w:rsidRDefault="00B50FC8" w:rsidP="0012764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lastRenderedPageBreak/>
        <w:t xml:space="preserve">Tab </w:t>
      </w:r>
      <w:r w:rsidR="00D649A9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2.</w:t>
      </w: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Agency Demographics: </w:t>
      </w:r>
      <w:r w:rsidR="00127646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It now states that the CEO must complete trainings below</w:t>
      </w:r>
      <w:r w:rsidR="00CB0AF0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and they must supply the date and</w:t>
      </w:r>
      <w:r w:rsidR="00A43C8D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/</w:t>
      </w:r>
      <w:r w:rsidR="00CB0AF0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or </w:t>
      </w:r>
      <w:r w:rsidR="00E20B2D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number of the certificate</w:t>
      </w:r>
      <w:r w:rsidR="00A43C8D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 and include a copy with the supporting documentation</w:t>
      </w:r>
      <w:r w:rsidR="00127646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:</w:t>
      </w:r>
    </w:p>
    <w:p w14:paraId="62A5ED92" w14:textId="77777777" w:rsidR="00B50FC8" w:rsidRPr="00B50FC8" w:rsidRDefault="00B50FC8" w:rsidP="00B50FC8">
      <w:pPr>
        <w:spacing w:after="0" w:line="240" w:lineRule="auto"/>
        <w:ind w:left="360"/>
        <w:rPr>
          <w:rFonts w:ascii="Verdana" w:eastAsia="Calibri" w:hAnsi="Verdana" w:cs="Calibri"/>
          <w:color w:val="000066"/>
          <w:sz w:val="20"/>
          <w:szCs w:val="20"/>
          <w:u w:val="single"/>
        </w:rPr>
      </w:pPr>
    </w:p>
    <w:p w14:paraId="529901DF" w14:textId="1B5A4573" w:rsidR="00127646" w:rsidRDefault="00127646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  <w:r w:rsidRPr="00127646">
        <w:rPr>
          <w:rFonts w:ascii="Calibri" w:eastAsia="Calibri" w:hAnsi="Calibri" w:cs="Calibri"/>
          <w:noProof/>
        </w:rPr>
        <w:drawing>
          <wp:inline distT="0" distB="0" distL="0" distR="0" wp14:anchorId="7B3839DF" wp14:editId="48040BEF">
            <wp:extent cx="6293485" cy="1037104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57" cy="104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706D8" w14:textId="77777777" w:rsidR="00FA050E" w:rsidRPr="00127646" w:rsidRDefault="00FA050E" w:rsidP="00127646">
      <w:pPr>
        <w:spacing w:after="0" w:line="240" w:lineRule="auto"/>
        <w:rPr>
          <w:rFonts w:ascii="Verdana" w:eastAsia="Calibri" w:hAnsi="Verdana" w:cs="Calibri"/>
          <w:color w:val="000066"/>
          <w:sz w:val="20"/>
          <w:szCs w:val="20"/>
        </w:rPr>
      </w:pPr>
    </w:p>
    <w:p w14:paraId="52E9BB53" w14:textId="77777777" w:rsidR="00127646" w:rsidRPr="00127646" w:rsidRDefault="00127646" w:rsidP="00127646">
      <w:pPr>
        <w:spacing w:after="0" w:line="240" w:lineRule="auto"/>
        <w:rPr>
          <w:rFonts w:ascii="Verdana" w:eastAsia="Calibri" w:hAnsi="Verdana" w:cs="Calibri"/>
          <w:b/>
          <w:bCs/>
          <w:color w:val="44546A"/>
          <w:sz w:val="20"/>
          <w:szCs w:val="20"/>
        </w:rPr>
      </w:pPr>
    </w:p>
    <w:p w14:paraId="6120577F" w14:textId="5C4DB7AE" w:rsidR="00127646" w:rsidRPr="006E16F4" w:rsidRDefault="00B50FC8" w:rsidP="00B50FC8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Tab </w:t>
      </w:r>
      <w:r w:rsidR="00950ED9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>2.</w:t>
      </w: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Agency Demographics: It now states that for ID/A providers</w:t>
      </w:r>
      <w:r w:rsidR="005E4C3D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>,</w:t>
      </w: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verification of access to a Certified Investigator is evaluated during QA&amp;I:</w:t>
      </w:r>
    </w:p>
    <w:p w14:paraId="13B2164D" w14:textId="65B419C9" w:rsidR="00B50FC8" w:rsidRDefault="00B50FC8" w:rsidP="00B50FC8">
      <w:pPr>
        <w:rPr>
          <w:rFonts w:ascii="Verdana" w:hAnsi="Verdana"/>
          <w:sz w:val="20"/>
          <w:szCs w:val="20"/>
        </w:rPr>
      </w:pPr>
      <w:r w:rsidRPr="00B50FC8">
        <w:rPr>
          <w:noProof/>
        </w:rPr>
        <w:drawing>
          <wp:inline distT="0" distB="0" distL="0" distR="0" wp14:anchorId="3C492065" wp14:editId="5E02B055">
            <wp:extent cx="91440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19EC" w14:textId="554895B8" w:rsidR="00B50FC8" w:rsidRDefault="00B50FC8" w:rsidP="00B50FC8">
      <w:pPr>
        <w:rPr>
          <w:rFonts w:ascii="Verdana" w:hAnsi="Verdana"/>
          <w:sz w:val="20"/>
          <w:szCs w:val="20"/>
        </w:rPr>
      </w:pPr>
    </w:p>
    <w:p w14:paraId="5CA4849D" w14:textId="58F57C8E" w:rsidR="00B50FC8" w:rsidRPr="006E16F4" w:rsidRDefault="00FA050E" w:rsidP="00B50FC8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Tab </w:t>
      </w:r>
      <w:r w:rsidR="00D649A9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>2.</w:t>
      </w: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Agency Demographics: It now states that Successful Completion </w:t>
      </w:r>
      <w:r w:rsidR="004A364A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of the New Provider Self-Assessment Tool </w:t>
      </w: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is not applicable to AAW Only Providers: </w:t>
      </w:r>
    </w:p>
    <w:p w14:paraId="4CC5131A" w14:textId="29D66C78" w:rsidR="00E20B2D" w:rsidRDefault="00FA050E" w:rsidP="00FA050E">
      <w:pPr>
        <w:rPr>
          <w:rFonts w:ascii="Verdana" w:hAnsi="Verdana"/>
          <w:sz w:val="20"/>
          <w:szCs w:val="20"/>
        </w:rPr>
      </w:pPr>
      <w:r w:rsidRPr="00FA050E">
        <w:rPr>
          <w:noProof/>
        </w:rPr>
        <w:drawing>
          <wp:inline distT="0" distB="0" distL="0" distR="0" wp14:anchorId="54C616B3" wp14:editId="4AFD332D">
            <wp:extent cx="9144000" cy="4419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DECB" w14:textId="09E551A4" w:rsidR="005E4C3D" w:rsidRDefault="005E4C3D" w:rsidP="005E4C3D">
      <w:pPr>
        <w:rPr>
          <w:rFonts w:ascii="Verdana" w:hAnsi="Verdana"/>
          <w:sz w:val="20"/>
          <w:szCs w:val="20"/>
        </w:rPr>
      </w:pPr>
    </w:p>
    <w:p w14:paraId="66445BF0" w14:textId="775FF874" w:rsidR="00AB4EF7" w:rsidRDefault="00AB4EF7" w:rsidP="005E4C3D">
      <w:pPr>
        <w:rPr>
          <w:rFonts w:ascii="Verdana" w:hAnsi="Verdana"/>
          <w:sz w:val="20"/>
          <w:szCs w:val="20"/>
        </w:rPr>
      </w:pPr>
    </w:p>
    <w:p w14:paraId="37CB6E48" w14:textId="10D4FABB" w:rsidR="00DF1B53" w:rsidRPr="006E16F4" w:rsidRDefault="009103A7" w:rsidP="009103A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Tab </w:t>
      </w:r>
      <w:r w:rsidR="00D649A9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>2</w:t>
      </w: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>. Agency Demographics: New ID/A Providers must now indicate the date of confirmation email for the QA&amp;I contact form and include a copy of the email with supporting documentation:</w:t>
      </w:r>
    </w:p>
    <w:p w14:paraId="4BC7F62B" w14:textId="19EC32AF" w:rsidR="009103A7" w:rsidRDefault="009103A7" w:rsidP="009103A7">
      <w:pPr>
        <w:rPr>
          <w:rFonts w:ascii="Verdana" w:hAnsi="Verdana"/>
          <w:sz w:val="20"/>
          <w:szCs w:val="20"/>
        </w:rPr>
      </w:pPr>
      <w:r w:rsidRPr="009103A7">
        <w:rPr>
          <w:noProof/>
        </w:rPr>
        <w:drawing>
          <wp:inline distT="0" distB="0" distL="0" distR="0" wp14:anchorId="4AA73430" wp14:editId="45B27A28">
            <wp:extent cx="9144000" cy="6781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12BCF" w14:textId="2CE7B174" w:rsidR="00F10AA5" w:rsidRDefault="00F10AA5" w:rsidP="009103A7">
      <w:pPr>
        <w:rPr>
          <w:rFonts w:ascii="Verdana" w:hAnsi="Verdana"/>
          <w:sz w:val="20"/>
          <w:szCs w:val="20"/>
        </w:rPr>
      </w:pPr>
    </w:p>
    <w:p w14:paraId="4F8F6AA2" w14:textId="77777777" w:rsidR="003F4210" w:rsidRDefault="003F4210" w:rsidP="009103A7">
      <w:pPr>
        <w:rPr>
          <w:rFonts w:ascii="Verdana" w:hAnsi="Verdana"/>
          <w:sz w:val="20"/>
          <w:szCs w:val="20"/>
        </w:rPr>
      </w:pPr>
    </w:p>
    <w:p w14:paraId="4BBC4263" w14:textId="77777777" w:rsidR="00D3768B" w:rsidRDefault="00D3768B" w:rsidP="00D3768B">
      <w:pPr>
        <w:pStyle w:val="ListParagraph"/>
        <w:ind w:left="360"/>
        <w:rPr>
          <w:rFonts w:ascii="Verdana" w:hAnsi="Verdana"/>
          <w:b/>
          <w:bCs/>
          <w:color w:val="002060"/>
          <w:sz w:val="20"/>
          <w:szCs w:val="20"/>
          <w:u w:val="single"/>
        </w:rPr>
      </w:pPr>
    </w:p>
    <w:p w14:paraId="647D100A" w14:textId="3026634D" w:rsidR="00F10AA5" w:rsidRPr="006E16F4" w:rsidRDefault="00842B3B" w:rsidP="00F10AA5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Tab 5. IDA Doc Requirements: </w:t>
      </w:r>
      <w:r w:rsidR="005964A4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Respite Licensed</w:t>
      </w:r>
      <w:r w:rsidR="00C66444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(52. Community Residential Rehabilitation, 513. Respite Care Out of Home) was separated from Respite</w:t>
      </w:r>
      <w:r w:rsidR="00CE6AFC" w:rsidRPr="006E16F4">
        <w:rPr>
          <w:rFonts w:ascii="Verdana" w:hAnsi="Verdana"/>
          <w:b/>
          <w:bCs/>
          <w:color w:val="002060"/>
          <w:sz w:val="20"/>
          <w:szCs w:val="20"/>
          <w:u w:val="single"/>
        </w:rPr>
        <w:t xml:space="preserve"> Licensed, Unlicensed and additional clarification was added from the ISP Manual:</w:t>
      </w:r>
    </w:p>
    <w:p w14:paraId="2264D846" w14:textId="67838EAC" w:rsidR="00842B3B" w:rsidRDefault="00403A2E" w:rsidP="00403A2E">
      <w:pPr>
        <w:rPr>
          <w:rFonts w:ascii="Verdana" w:hAnsi="Verdana"/>
          <w:sz w:val="20"/>
          <w:szCs w:val="20"/>
        </w:rPr>
      </w:pPr>
      <w:r w:rsidRPr="00403A2E">
        <w:rPr>
          <w:noProof/>
        </w:rPr>
        <w:drawing>
          <wp:inline distT="0" distB="0" distL="0" distR="0" wp14:anchorId="626155C1" wp14:editId="5DA2F418">
            <wp:extent cx="9144000" cy="133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7FFF" w14:textId="77777777" w:rsidR="005341C5" w:rsidRDefault="005341C5" w:rsidP="005341C5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color w:val="002060"/>
          <w:sz w:val="20"/>
          <w:szCs w:val="20"/>
          <w:u w:val="single"/>
        </w:rPr>
      </w:pPr>
    </w:p>
    <w:p w14:paraId="50EE1D78" w14:textId="77777777" w:rsidR="00D3768B" w:rsidRDefault="00D3768B" w:rsidP="00D3768B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</w:p>
    <w:p w14:paraId="379EC9C2" w14:textId="0141B5F5" w:rsidR="005341C5" w:rsidRPr="006E16F4" w:rsidRDefault="005341C5" w:rsidP="005341C5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Tab 14. Electronic Fingerprinting: New code added for unlicensed providers:</w:t>
      </w:r>
    </w:p>
    <w:p w14:paraId="61AEEEEB" w14:textId="77777777" w:rsidR="005341C5" w:rsidRDefault="005341C5" w:rsidP="005341C5">
      <w:pPr>
        <w:pStyle w:val="ListParagraph"/>
        <w:spacing w:after="0" w:line="240" w:lineRule="auto"/>
        <w:ind w:left="360"/>
        <w:rPr>
          <w:rFonts w:ascii="Verdana" w:eastAsia="Calibri" w:hAnsi="Verdana" w:cs="Calibri"/>
          <w:i/>
          <w:iCs/>
          <w:sz w:val="20"/>
          <w:szCs w:val="20"/>
          <w:u w:val="single"/>
        </w:rPr>
      </w:pPr>
    </w:p>
    <w:p w14:paraId="0F10863D" w14:textId="049860BF" w:rsidR="005341C5" w:rsidRPr="00900052" w:rsidRDefault="005341C5" w:rsidP="005341C5">
      <w:pPr>
        <w:spacing w:after="0" w:line="240" w:lineRule="auto"/>
        <w:rPr>
          <w:rFonts w:ascii="Verdana" w:eastAsia="Calibri" w:hAnsi="Verdana" w:cs="Calibri"/>
          <w:i/>
          <w:iCs/>
          <w:sz w:val="20"/>
          <w:szCs w:val="20"/>
          <w:u w:val="single"/>
        </w:rPr>
      </w:pPr>
      <w:r w:rsidRPr="00900052">
        <w:rPr>
          <w:noProof/>
        </w:rPr>
        <w:drawing>
          <wp:inline distT="0" distB="0" distL="0" distR="0" wp14:anchorId="335833B2" wp14:editId="409A9023">
            <wp:extent cx="9144000" cy="895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F2C8" w14:textId="77777777" w:rsidR="005341C5" w:rsidRPr="00132E1C" w:rsidRDefault="005341C5" w:rsidP="00132E1C">
      <w:pPr>
        <w:spacing w:after="0" w:line="240" w:lineRule="auto"/>
        <w:rPr>
          <w:rFonts w:ascii="Verdana" w:eastAsia="Calibri" w:hAnsi="Verdana" w:cs="Calibri"/>
          <w:i/>
          <w:iCs/>
          <w:color w:val="002060"/>
          <w:sz w:val="20"/>
          <w:szCs w:val="20"/>
          <w:u w:val="single"/>
        </w:rPr>
      </w:pPr>
    </w:p>
    <w:p w14:paraId="2FC47F50" w14:textId="77777777" w:rsidR="00132E1C" w:rsidRDefault="00132E1C" w:rsidP="00132E1C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i/>
          <w:iCs/>
          <w:color w:val="002060"/>
          <w:sz w:val="20"/>
          <w:szCs w:val="20"/>
          <w:u w:val="single"/>
        </w:rPr>
      </w:pPr>
    </w:p>
    <w:p w14:paraId="0144315D" w14:textId="77777777" w:rsidR="00D3768B" w:rsidRPr="00D3768B" w:rsidRDefault="00D3768B" w:rsidP="00D3768B">
      <w:pPr>
        <w:pStyle w:val="ListParagraph"/>
        <w:spacing w:after="0" w:line="240" w:lineRule="auto"/>
        <w:ind w:left="360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</w:p>
    <w:p w14:paraId="0E0FD518" w14:textId="59ED578A" w:rsidR="0082354F" w:rsidRPr="006E16F4" w:rsidRDefault="006E16F4" w:rsidP="0082354F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</w:pPr>
      <w:r w:rsidRPr="006E16F4">
        <w:rPr>
          <w:rFonts w:ascii="Verdana" w:eastAsia="Calibri" w:hAnsi="Verdana" w:cs="Calibri"/>
          <w:b/>
          <w:bCs/>
          <w:color w:val="002060"/>
          <w:sz w:val="20"/>
          <w:szCs w:val="20"/>
        </w:rPr>
        <w:t xml:space="preserve"> </w:t>
      </w:r>
      <w:r w:rsidR="0082354F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 xml:space="preserve">Tab 15. Q&amp;A: </w:t>
      </w:r>
      <w:r w:rsidR="00D3768B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H</w:t>
      </w:r>
      <w:r w:rsidR="0082354F" w:rsidRPr="006E16F4">
        <w:rPr>
          <w:rFonts w:ascii="Verdana" w:eastAsia="Calibri" w:hAnsi="Verdana" w:cs="Calibri"/>
          <w:b/>
          <w:bCs/>
          <w:color w:val="002060"/>
          <w:sz w:val="20"/>
          <w:szCs w:val="20"/>
          <w:u w:val="single"/>
        </w:rPr>
        <w:t>as been modified to allow providers to search questions and answers by AAW only, ID/A only, or IDA/AAW:</w:t>
      </w:r>
    </w:p>
    <w:p w14:paraId="106EA255" w14:textId="77777777" w:rsidR="0082354F" w:rsidRPr="006E16F4" w:rsidRDefault="0082354F" w:rsidP="0082354F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  <w:u w:val="single"/>
        </w:rPr>
      </w:pPr>
    </w:p>
    <w:p w14:paraId="3D0549A8" w14:textId="39A8406B" w:rsidR="00CE6AFC" w:rsidRPr="003F4210" w:rsidRDefault="0082354F" w:rsidP="003F4210">
      <w:pPr>
        <w:pStyle w:val="ListParagraph"/>
        <w:spacing w:after="0" w:line="240" w:lineRule="auto"/>
        <w:ind w:left="360"/>
        <w:rPr>
          <w:rFonts w:ascii="Verdana" w:eastAsia="Calibri" w:hAnsi="Verdana" w:cs="Calibri"/>
          <w:sz w:val="20"/>
          <w:szCs w:val="20"/>
        </w:rPr>
      </w:pPr>
      <w:r>
        <w:rPr>
          <w:noProof/>
        </w:rPr>
        <w:drawing>
          <wp:inline distT="0" distB="0" distL="0" distR="0" wp14:anchorId="59A2402D" wp14:editId="4084D604">
            <wp:extent cx="5648325" cy="19240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AFC" w:rsidRPr="003F4210" w:rsidSect="00FA050E">
      <w:headerReference w:type="default" r:id="rId2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7DA2E" w14:textId="77777777" w:rsidR="00FA050E" w:rsidRDefault="00FA050E" w:rsidP="00FA050E">
      <w:pPr>
        <w:spacing w:after="0" w:line="240" w:lineRule="auto"/>
      </w:pPr>
      <w:r>
        <w:separator/>
      </w:r>
    </w:p>
  </w:endnote>
  <w:endnote w:type="continuationSeparator" w:id="0">
    <w:p w14:paraId="0BBCE009" w14:textId="77777777" w:rsidR="00FA050E" w:rsidRDefault="00FA050E" w:rsidP="00FA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214F" w14:textId="77777777" w:rsidR="00FA050E" w:rsidRDefault="00FA050E" w:rsidP="00FA050E">
      <w:pPr>
        <w:spacing w:after="0" w:line="240" w:lineRule="auto"/>
      </w:pPr>
      <w:r>
        <w:separator/>
      </w:r>
    </w:p>
  </w:footnote>
  <w:footnote w:type="continuationSeparator" w:id="0">
    <w:p w14:paraId="513E96E8" w14:textId="77777777" w:rsidR="00FA050E" w:rsidRDefault="00FA050E" w:rsidP="00FA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9C182" w14:textId="517DAC23" w:rsidR="00FA050E" w:rsidRDefault="00FA050E">
    <w:pPr>
      <w:pStyle w:val="Header"/>
    </w:pPr>
    <w:r w:rsidRPr="00FA050E">
      <w:t>Recent Changes to the Provider Qualification Documentation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450A7"/>
    <w:multiLevelType w:val="hybridMultilevel"/>
    <w:tmpl w:val="9D9AC4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7FB8"/>
    <w:multiLevelType w:val="hybridMultilevel"/>
    <w:tmpl w:val="F8264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46"/>
    <w:rsid w:val="000178CC"/>
    <w:rsid w:val="00042336"/>
    <w:rsid w:val="000831CC"/>
    <w:rsid w:val="000A0618"/>
    <w:rsid w:val="00127646"/>
    <w:rsid w:val="00132E1C"/>
    <w:rsid w:val="00135A34"/>
    <w:rsid w:val="001E1FA9"/>
    <w:rsid w:val="0021568A"/>
    <w:rsid w:val="0024380F"/>
    <w:rsid w:val="002541DA"/>
    <w:rsid w:val="002D5424"/>
    <w:rsid w:val="003826B7"/>
    <w:rsid w:val="003E5354"/>
    <w:rsid w:val="003F4210"/>
    <w:rsid w:val="00403A2E"/>
    <w:rsid w:val="004A364A"/>
    <w:rsid w:val="00510615"/>
    <w:rsid w:val="00511DD9"/>
    <w:rsid w:val="005341C5"/>
    <w:rsid w:val="005964A4"/>
    <w:rsid w:val="005E4C3D"/>
    <w:rsid w:val="0066200F"/>
    <w:rsid w:val="006E16F4"/>
    <w:rsid w:val="0082354F"/>
    <w:rsid w:val="00842B3B"/>
    <w:rsid w:val="008B48E2"/>
    <w:rsid w:val="00900052"/>
    <w:rsid w:val="009103A7"/>
    <w:rsid w:val="00950ED9"/>
    <w:rsid w:val="00A43C8D"/>
    <w:rsid w:val="00A676D3"/>
    <w:rsid w:val="00AB4EF7"/>
    <w:rsid w:val="00AF6219"/>
    <w:rsid w:val="00B24D81"/>
    <w:rsid w:val="00B50FC8"/>
    <w:rsid w:val="00B75EC8"/>
    <w:rsid w:val="00BB768A"/>
    <w:rsid w:val="00BF60F1"/>
    <w:rsid w:val="00C118A6"/>
    <w:rsid w:val="00C34AA1"/>
    <w:rsid w:val="00C66444"/>
    <w:rsid w:val="00CB0AF0"/>
    <w:rsid w:val="00CC3ADE"/>
    <w:rsid w:val="00CE47CC"/>
    <w:rsid w:val="00CE6AFC"/>
    <w:rsid w:val="00D3768B"/>
    <w:rsid w:val="00D649A9"/>
    <w:rsid w:val="00DF1B53"/>
    <w:rsid w:val="00E20B2D"/>
    <w:rsid w:val="00E66F9A"/>
    <w:rsid w:val="00E70C93"/>
    <w:rsid w:val="00F10AA5"/>
    <w:rsid w:val="00F74D7D"/>
    <w:rsid w:val="00FA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0FE2"/>
  <w15:chartTrackingRefBased/>
  <w15:docId w15:val="{736EFFE4-C509-4450-80EA-098C581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0E"/>
  </w:style>
  <w:style w:type="paragraph" w:styleId="Footer">
    <w:name w:val="footer"/>
    <w:basedOn w:val="Normal"/>
    <w:link w:val="FooterChar"/>
    <w:uiPriority w:val="99"/>
    <w:unhideWhenUsed/>
    <w:rsid w:val="00FA0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3.png@01D726D3.46D99AE0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Zumbrun, Katherine</dc:creator>
  <cp:keywords/>
  <dc:description/>
  <cp:lastModifiedBy>Zumbrun, Katherine</cp:lastModifiedBy>
  <cp:revision>2</cp:revision>
  <dcterms:created xsi:type="dcterms:W3CDTF">2021-04-28T14:44:00Z</dcterms:created>
  <dcterms:modified xsi:type="dcterms:W3CDTF">2021-04-28T14:44:00Z</dcterms:modified>
</cp:coreProperties>
</file>